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0C" w:rsidRDefault="0065350C" w:rsidP="0065350C">
      <w:pPr>
        <w:jc w:val="center"/>
        <w:rPr>
          <w:rFonts w:ascii="Arial" w:hAnsi="Arial" w:cs="Arial"/>
          <w:b/>
          <w:sz w:val="32"/>
        </w:rPr>
      </w:pPr>
      <w:r w:rsidRPr="00C90AF0">
        <w:rPr>
          <w:rFonts w:ascii="Arial" w:hAnsi="Arial" w:cs="Arial"/>
          <w:b/>
          <w:sz w:val="32"/>
        </w:rPr>
        <w:t xml:space="preserve">Steps </w:t>
      </w:r>
      <w:r>
        <w:rPr>
          <w:rFonts w:ascii="Arial" w:hAnsi="Arial" w:cs="Arial"/>
          <w:b/>
          <w:sz w:val="32"/>
        </w:rPr>
        <w:t>to Take When a Loved One Dies</w:t>
      </w:r>
    </w:p>
    <w:p w:rsidR="0065350C" w:rsidRDefault="0065350C" w:rsidP="0065350C">
      <w:pPr>
        <w:pStyle w:val="NormalWeb"/>
        <w:shd w:val="clear" w:color="auto" w:fill="FFFFFF"/>
        <w:spacing w:before="0" w:beforeAutospacing="0" w:after="0" w:afterAutospacing="0" w:line="315" w:lineRule="atLeast"/>
        <w:rPr>
          <w:rFonts w:ascii="Arial" w:hAnsi="Arial" w:cs="Arial"/>
          <w:color w:val="000000"/>
          <w:sz w:val="24"/>
          <w:szCs w:val="24"/>
        </w:rPr>
      </w:pPr>
    </w:p>
    <w:p w:rsidR="0065350C" w:rsidRPr="00C90AF0" w:rsidRDefault="0065350C" w:rsidP="0065350C">
      <w:pPr>
        <w:pStyle w:val="NormalWeb"/>
        <w:shd w:val="clear" w:color="auto" w:fill="FFFFFF"/>
        <w:spacing w:before="0" w:beforeAutospacing="0" w:after="0" w:afterAutospacing="0" w:line="315" w:lineRule="atLeast"/>
        <w:rPr>
          <w:rFonts w:ascii="Arial" w:hAnsi="Arial" w:cs="Arial"/>
          <w:color w:val="000000"/>
          <w:sz w:val="24"/>
          <w:szCs w:val="24"/>
        </w:rPr>
      </w:pPr>
      <w:r>
        <w:rPr>
          <w:rFonts w:ascii="Arial" w:hAnsi="Arial" w:cs="Arial"/>
          <w:color w:val="000000"/>
          <w:sz w:val="24"/>
          <w:szCs w:val="24"/>
        </w:rPr>
        <w:t xml:space="preserve">After a loved one dies, you will need the support of friends and family. </w:t>
      </w:r>
      <w:r w:rsidRPr="00C90AF0">
        <w:rPr>
          <w:rFonts w:ascii="Arial" w:hAnsi="Arial" w:cs="Arial"/>
          <w:color w:val="000000"/>
          <w:sz w:val="24"/>
          <w:szCs w:val="24"/>
        </w:rPr>
        <w:t xml:space="preserve">The </w:t>
      </w:r>
      <w:r>
        <w:rPr>
          <w:rFonts w:ascii="Arial" w:hAnsi="Arial" w:cs="Arial"/>
          <w:color w:val="000000"/>
          <w:sz w:val="24"/>
          <w:szCs w:val="24"/>
        </w:rPr>
        <w:t xml:space="preserve">mix of emotions that come after the death of a loved one </w:t>
      </w:r>
      <w:r w:rsidRPr="00C90AF0">
        <w:rPr>
          <w:rFonts w:ascii="Arial" w:hAnsi="Arial" w:cs="Arial"/>
          <w:color w:val="000000"/>
          <w:sz w:val="24"/>
          <w:szCs w:val="24"/>
        </w:rPr>
        <w:t>can</w:t>
      </w:r>
      <w:r>
        <w:rPr>
          <w:rFonts w:ascii="Arial" w:hAnsi="Arial" w:cs="Arial"/>
          <w:color w:val="000000"/>
          <w:sz w:val="24"/>
          <w:szCs w:val="24"/>
        </w:rPr>
        <w:t xml:space="preserve"> </w:t>
      </w:r>
      <w:r w:rsidR="00C36BDB">
        <w:rPr>
          <w:rFonts w:ascii="Arial" w:hAnsi="Arial" w:cs="Arial"/>
          <w:color w:val="000000"/>
          <w:sz w:val="24"/>
          <w:szCs w:val="24"/>
        </w:rPr>
        <w:t>be overwhelming</w:t>
      </w:r>
      <w:bookmarkStart w:id="0" w:name="_GoBack"/>
      <w:bookmarkEnd w:id="0"/>
      <w:r>
        <w:rPr>
          <w:rFonts w:ascii="Arial" w:hAnsi="Arial" w:cs="Arial"/>
          <w:color w:val="000000"/>
          <w:sz w:val="24"/>
          <w:szCs w:val="24"/>
        </w:rPr>
        <w:t xml:space="preserve">.  </w:t>
      </w:r>
    </w:p>
    <w:p w:rsidR="0065350C" w:rsidRPr="00C90AF0" w:rsidRDefault="0065350C" w:rsidP="0065350C">
      <w:pPr>
        <w:pStyle w:val="NormalWeb"/>
        <w:shd w:val="clear" w:color="auto" w:fill="FFFFFF"/>
        <w:spacing w:before="0" w:beforeAutospacing="0" w:after="0" w:afterAutospacing="0" w:line="315" w:lineRule="atLeast"/>
        <w:rPr>
          <w:rFonts w:ascii="Arial" w:hAnsi="Arial" w:cs="Arial"/>
          <w:color w:val="000000"/>
          <w:sz w:val="24"/>
          <w:szCs w:val="24"/>
        </w:rPr>
      </w:pPr>
    </w:p>
    <w:p w:rsidR="0065350C" w:rsidRPr="00C90AF0" w:rsidRDefault="0065350C" w:rsidP="0065350C">
      <w:pPr>
        <w:pStyle w:val="NormalWeb"/>
        <w:shd w:val="clear" w:color="auto" w:fill="FFFFFF"/>
        <w:spacing w:before="0" w:beforeAutospacing="0" w:after="0" w:afterAutospacing="0" w:line="315" w:lineRule="atLeast"/>
        <w:rPr>
          <w:rFonts w:ascii="Arial" w:hAnsi="Arial" w:cs="Arial"/>
          <w:color w:val="000000"/>
          <w:sz w:val="24"/>
          <w:szCs w:val="24"/>
        </w:rPr>
      </w:pPr>
      <w:r w:rsidRPr="00C90AF0">
        <w:rPr>
          <w:rFonts w:ascii="Arial" w:hAnsi="Arial" w:cs="Arial"/>
          <w:color w:val="000000"/>
          <w:sz w:val="24"/>
          <w:szCs w:val="24"/>
        </w:rPr>
        <w:t>Then, work through this list to protect yourself and any dependents the loved one left behind.</w:t>
      </w:r>
    </w:p>
    <w:p w:rsidR="0065350C" w:rsidRPr="00C90AF0" w:rsidRDefault="0065350C" w:rsidP="0065350C">
      <w:pPr>
        <w:pStyle w:val="NormalWeb"/>
        <w:shd w:val="clear" w:color="auto" w:fill="FFFFFF"/>
        <w:spacing w:before="0" w:beforeAutospacing="0" w:after="0" w:afterAutospacing="0" w:line="315" w:lineRule="atLeast"/>
        <w:rPr>
          <w:rFonts w:ascii="Arial" w:hAnsi="Arial" w:cs="Arial"/>
          <w:color w:val="000000"/>
          <w:sz w:val="24"/>
          <w:szCs w:val="24"/>
        </w:rPr>
      </w:pPr>
    </w:p>
    <w:p w:rsidR="0065350C" w:rsidRPr="00C90AF0" w:rsidRDefault="0065350C" w:rsidP="0065350C">
      <w:pPr>
        <w:pStyle w:val="NormalWeb"/>
        <w:shd w:val="clear" w:color="auto" w:fill="FFFFFF"/>
        <w:spacing w:before="0" w:beforeAutospacing="0" w:after="0" w:afterAutospacing="0" w:line="315" w:lineRule="atLeast"/>
        <w:rPr>
          <w:rFonts w:ascii="Arial" w:hAnsi="Arial" w:cs="Arial"/>
          <w:color w:val="000000"/>
          <w:sz w:val="24"/>
          <w:szCs w:val="24"/>
        </w:rPr>
      </w:pPr>
      <w:r w:rsidRPr="00C90AF0">
        <w:rPr>
          <w:rFonts w:ascii="Arial" w:hAnsi="Arial" w:cs="Arial"/>
          <w:color w:val="000000"/>
          <w:sz w:val="24"/>
          <w:szCs w:val="24"/>
        </w:rPr>
        <w:t>Keep this list with all of the financial records you locate so you can keep track of what you have done.</w:t>
      </w:r>
    </w:p>
    <w:p w:rsidR="0065350C" w:rsidRPr="00C90AF0" w:rsidRDefault="0065350C" w:rsidP="0065350C">
      <w:pPr>
        <w:pStyle w:val="NormalWeb"/>
        <w:shd w:val="clear" w:color="auto" w:fill="FFFFFF"/>
        <w:spacing w:before="0" w:beforeAutospacing="0" w:after="0" w:afterAutospacing="0" w:line="315" w:lineRule="atLeast"/>
        <w:rPr>
          <w:rFonts w:ascii="Arial" w:hAnsi="Arial" w:cs="Arial"/>
          <w:color w:val="000000"/>
          <w:sz w:val="24"/>
          <w:szCs w:val="24"/>
        </w:rPr>
      </w:pPr>
    </w:p>
    <w:tbl>
      <w:tblPr>
        <w:tblStyle w:val="TableGrid"/>
        <w:tblW w:w="9288" w:type="dxa"/>
        <w:tblLayout w:type="fixed"/>
        <w:tblLook w:val="04A0" w:firstRow="1" w:lastRow="0" w:firstColumn="1" w:lastColumn="0" w:noHBand="0" w:noVBand="1"/>
      </w:tblPr>
      <w:tblGrid>
        <w:gridCol w:w="1512"/>
        <w:gridCol w:w="6246"/>
        <w:gridCol w:w="1530"/>
      </w:tblGrid>
      <w:tr w:rsidR="0065350C" w:rsidRPr="004F7AFD" w:rsidTr="003770DD">
        <w:tc>
          <w:tcPr>
            <w:tcW w:w="1512" w:type="dxa"/>
          </w:tcPr>
          <w:p w:rsidR="0065350C" w:rsidRPr="004F7AFD" w:rsidRDefault="0065350C" w:rsidP="003770DD">
            <w:pPr>
              <w:pStyle w:val="NormalWeb"/>
              <w:spacing w:before="0" w:beforeAutospacing="0" w:after="0" w:afterAutospacing="0" w:line="315" w:lineRule="atLeast"/>
              <w:jc w:val="center"/>
              <w:rPr>
                <w:rFonts w:ascii="Arial" w:hAnsi="Arial" w:cs="Arial"/>
                <w:b/>
                <w:color w:val="000000"/>
                <w:sz w:val="24"/>
                <w:szCs w:val="24"/>
              </w:rPr>
            </w:pPr>
            <w:r w:rsidRPr="004F7AFD">
              <w:rPr>
                <w:rFonts w:ascii="Arial" w:hAnsi="Arial" w:cs="Arial"/>
                <w:b/>
                <w:color w:val="000000"/>
                <w:sz w:val="24"/>
                <w:szCs w:val="24"/>
              </w:rPr>
              <w:t>Step</w:t>
            </w:r>
          </w:p>
        </w:tc>
        <w:tc>
          <w:tcPr>
            <w:tcW w:w="6246" w:type="dxa"/>
          </w:tcPr>
          <w:p w:rsidR="0065350C" w:rsidRPr="004F7AFD" w:rsidRDefault="0065350C" w:rsidP="003770DD">
            <w:pPr>
              <w:jc w:val="center"/>
              <w:rPr>
                <w:rFonts w:ascii="Arial" w:hAnsi="Arial" w:cs="Arial"/>
                <w:b/>
              </w:rPr>
            </w:pPr>
            <w:r w:rsidRPr="004F7AFD">
              <w:rPr>
                <w:rFonts w:ascii="Arial" w:hAnsi="Arial" w:cs="Arial"/>
                <w:b/>
              </w:rPr>
              <w:t>Action</w:t>
            </w:r>
          </w:p>
        </w:tc>
        <w:tc>
          <w:tcPr>
            <w:tcW w:w="1530" w:type="dxa"/>
          </w:tcPr>
          <w:p w:rsidR="0065350C" w:rsidRPr="004F7AFD" w:rsidRDefault="0065350C" w:rsidP="003770DD">
            <w:pPr>
              <w:pStyle w:val="NormalWeb"/>
              <w:spacing w:before="0" w:beforeAutospacing="0" w:after="0" w:afterAutospacing="0" w:line="315" w:lineRule="atLeast"/>
              <w:jc w:val="center"/>
              <w:rPr>
                <w:rFonts w:ascii="Arial" w:hAnsi="Arial" w:cs="Arial"/>
                <w:b/>
                <w:color w:val="000000"/>
                <w:sz w:val="24"/>
                <w:szCs w:val="24"/>
              </w:rPr>
            </w:pPr>
            <w:r w:rsidRPr="004F7AFD">
              <w:rPr>
                <w:rFonts w:ascii="Arial" w:hAnsi="Arial" w:cs="Arial"/>
                <w:b/>
                <w:color w:val="000000"/>
                <w:sz w:val="24"/>
                <w:szCs w:val="24"/>
              </w:rPr>
              <w:t>Check When Completed</w:t>
            </w:r>
          </w:p>
        </w:tc>
      </w:tr>
      <w:tr w:rsidR="0065350C" w:rsidRPr="00C90AF0" w:rsidTr="003770DD">
        <w:tc>
          <w:tcPr>
            <w:tcW w:w="1512"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r>
              <w:rPr>
                <w:rFonts w:ascii="Arial" w:hAnsi="Arial" w:cs="Arial"/>
                <w:color w:val="000000"/>
                <w:sz w:val="24"/>
                <w:szCs w:val="24"/>
              </w:rPr>
              <w:t>Step 1</w:t>
            </w:r>
          </w:p>
        </w:tc>
        <w:tc>
          <w:tcPr>
            <w:tcW w:w="6246" w:type="dxa"/>
          </w:tcPr>
          <w:p w:rsidR="0065350C" w:rsidRPr="00076527" w:rsidRDefault="0065350C" w:rsidP="003770DD">
            <w:pPr>
              <w:rPr>
                <w:rFonts w:ascii="Arial" w:hAnsi="Arial" w:cs="Arial"/>
              </w:rPr>
            </w:pPr>
            <w:r w:rsidRPr="00C90AF0">
              <w:rPr>
                <w:rFonts w:ascii="Arial" w:hAnsi="Arial" w:cs="Arial"/>
                <w:b/>
              </w:rPr>
              <w:t>Get a legal pronouncement of death.</w:t>
            </w:r>
            <w:r w:rsidRPr="00C90AF0">
              <w:rPr>
                <w:rFonts w:ascii="Arial" w:hAnsi="Arial" w:cs="Arial"/>
              </w:rPr>
              <w:t xml:space="preserve">  </w:t>
            </w:r>
            <w:r w:rsidRPr="00CA7A2B">
              <w:rPr>
                <w:rFonts w:ascii="Arial" w:hAnsi="Arial" w:cs="Arial"/>
              </w:rPr>
              <w:t>This is generally done by doctor, though in some states it can be done by registered nurses, advance practice registered nurses, or physicians’ assistants, particularly if the individual is already in a hospital or medical care facility.</w:t>
            </w:r>
          </w:p>
          <w:p w:rsidR="0065350C" w:rsidRDefault="0065350C" w:rsidP="003770DD">
            <w:pPr>
              <w:rPr>
                <w:rFonts w:ascii="Arial" w:hAnsi="Arial" w:cs="Arial"/>
              </w:rPr>
            </w:pPr>
          </w:p>
          <w:p w:rsidR="0065350C" w:rsidRPr="00C90AF0" w:rsidRDefault="0065350C" w:rsidP="003770DD">
            <w:pPr>
              <w:rPr>
                <w:rFonts w:ascii="Arial" w:hAnsi="Arial" w:cs="Arial"/>
              </w:rPr>
            </w:pPr>
            <w:r w:rsidRPr="00C90AF0">
              <w:rPr>
                <w:rFonts w:ascii="Arial" w:hAnsi="Arial" w:cs="Arial"/>
              </w:rPr>
              <w:t>If someone dies while in hospice care, contact the hospice care nurse.  He or she can legally declare death and arrange for the body to be transported.</w:t>
            </w:r>
          </w:p>
          <w:p w:rsidR="0065350C" w:rsidRPr="00C90AF0" w:rsidRDefault="0065350C" w:rsidP="003770DD">
            <w:pPr>
              <w:rPr>
                <w:rFonts w:ascii="Arial" w:hAnsi="Arial" w:cs="Arial"/>
              </w:rPr>
            </w:pPr>
          </w:p>
          <w:p w:rsidR="0065350C" w:rsidRPr="00C90AF0" w:rsidRDefault="0065350C" w:rsidP="003770DD">
            <w:pPr>
              <w:rPr>
                <w:rFonts w:ascii="Arial" w:hAnsi="Arial" w:cs="Arial"/>
              </w:rPr>
            </w:pPr>
            <w:r w:rsidRPr="00C90AF0">
              <w:rPr>
                <w:rFonts w:ascii="Arial" w:hAnsi="Arial" w:cs="Arial"/>
              </w:rPr>
              <w:t>If someone dies while not in medical or hospice care, call 911. When paramedics arrive, they will generally start resuscitation.  If the person has a “do not resuscitate order,”</w:t>
            </w:r>
            <w:r>
              <w:rPr>
                <w:rFonts w:ascii="Arial" w:hAnsi="Arial" w:cs="Arial"/>
              </w:rPr>
              <w:t xml:space="preserve"> give</w:t>
            </w:r>
            <w:r w:rsidRPr="00C90AF0">
              <w:rPr>
                <w:rFonts w:ascii="Arial" w:hAnsi="Arial" w:cs="Arial"/>
              </w:rPr>
              <w:t xml:space="preserve"> that to the paramedics when they arrive.</w:t>
            </w:r>
          </w:p>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c>
          <w:tcPr>
            <w:tcW w:w="1530"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r>
      <w:tr w:rsidR="0065350C" w:rsidRPr="00C90AF0" w:rsidTr="003770DD">
        <w:tc>
          <w:tcPr>
            <w:tcW w:w="1512"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r>
              <w:rPr>
                <w:rFonts w:ascii="Arial" w:hAnsi="Arial" w:cs="Arial"/>
                <w:color w:val="000000"/>
                <w:sz w:val="24"/>
                <w:szCs w:val="24"/>
              </w:rPr>
              <w:t>Step2</w:t>
            </w:r>
          </w:p>
        </w:tc>
        <w:tc>
          <w:tcPr>
            <w:tcW w:w="6246" w:type="dxa"/>
          </w:tcPr>
          <w:p w:rsidR="0065350C" w:rsidRPr="00C90AF0" w:rsidRDefault="0065350C" w:rsidP="003770DD">
            <w:pPr>
              <w:rPr>
                <w:rFonts w:ascii="Arial" w:hAnsi="Arial" w:cs="Arial"/>
              </w:rPr>
            </w:pPr>
            <w:r w:rsidRPr="00C90AF0">
              <w:rPr>
                <w:rFonts w:ascii="Arial" w:hAnsi="Arial" w:cs="Arial"/>
                <w:b/>
              </w:rPr>
              <w:t>Arran</w:t>
            </w:r>
            <w:r>
              <w:rPr>
                <w:rFonts w:ascii="Arial" w:hAnsi="Arial" w:cs="Arial"/>
                <w:b/>
              </w:rPr>
              <w:t>ge</w:t>
            </w:r>
            <w:r w:rsidRPr="00C90AF0">
              <w:rPr>
                <w:rFonts w:ascii="Arial" w:hAnsi="Arial" w:cs="Arial"/>
                <w:b/>
              </w:rPr>
              <w:t xml:space="preserve"> for the body to be transported.</w:t>
            </w:r>
            <w:r w:rsidRPr="00C90AF0">
              <w:rPr>
                <w:rFonts w:ascii="Arial" w:hAnsi="Arial" w:cs="Arial"/>
              </w:rPr>
              <w:t xml:space="preserve">  If there is no autopsy required, the body can be picked up by a funeral home, mortuary, or crematorium.</w:t>
            </w:r>
          </w:p>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c>
          <w:tcPr>
            <w:tcW w:w="1530"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r>
      <w:tr w:rsidR="0065350C" w:rsidRPr="00C90AF0" w:rsidTr="003770DD">
        <w:tc>
          <w:tcPr>
            <w:tcW w:w="1512"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r>
              <w:rPr>
                <w:rFonts w:ascii="Arial" w:hAnsi="Arial" w:cs="Arial"/>
                <w:color w:val="000000"/>
                <w:sz w:val="24"/>
                <w:szCs w:val="24"/>
              </w:rPr>
              <w:t>Step 3</w:t>
            </w:r>
          </w:p>
        </w:tc>
        <w:tc>
          <w:tcPr>
            <w:tcW w:w="6246" w:type="dxa"/>
          </w:tcPr>
          <w:p w:rsidR="0065350C" w:rsidRPr="00C90AF0" w:rsidRDefault="0065350C" w:rsidP="003770DD">
            <w:pPr>
              <w:rPr>
                <w:rFonts w:ascii="Arial" w:hAnsi="Arial" w:cs="Arial"/>
                <w:b/>
              </w:rPr>
            </w:pPr>
            <w:r w:rsidRPr="00C90AF0">
              <w:rPr>
                <w:rFonts w:ascii="Arial" w:hAnsi="Arial" w:cs="Arial"/>
                <w:b/>
              </w:rPr>
              <w:t>Mak</w:t>
            </w:r>
            <w:r>
              <w:rPr>
                <w:rFonts w:ascii="Arial" w:hAnsi="Arial" w:cs="Arial"/>
                <w:b/>
              </w:rPr>
              <w:t>e</w:t>
            </w:r>
            <w:r w:rsidRPr="00C90AF0">
              <w:rPr>
                <w:rFonts w:ascii="Arial" w:hAnsi="Arial" w:cs="Arial"/>
                <w:b/>
              </w:rPr>
              <w:t xml:space="preserve"> arrangements for the care of dependents and pets.  </w:t>
            </w:r>
          </w:p>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c>
          <w:tcPr>
            <w:tcW w:w="1530"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r>
      <w:tr w:rsidR="0065350C" w:rsidRPr="00C90AF0" w:rsidTr="003770DD">
        <w:tc>
          <w:tcPr>
            <w:tcW w:w="1512"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r>
              <w:rPr>
                <w:rFonts w:ascii="Arial" w:hAnsi="Arial" w:cs="Arial"/>
                <w:color w:val="000000"/>
                <w:sz w:val="24"/>
                <w:szCs w:val="24"/>
              </w:rPr>
              <w:t>Step 4</w:t>
            </w:r>
          </w:p>
        </w:tc>
        <w:tc>
          <w:tcPr>
            <w:tcW w:w="6246" w:type="dxa"/>
          </w:tcPr>
          <w:p w:rsidR="0065350C" w:rsidRPr="00C90AF0" w:rsidRDefault="0065350C" w:rsidP="003770DD">
            <w:pPr>
              <w:rPr>
                <w:rFonts w:ascii="Arial" w:hAnsi="Arial" w:cs="Arial"/>
                <w:b/>
              </w:rPr>
            </w:pPr>
            <w:r w:rsidRPr="00C90AF0">
              <w:rPr>
                <w:rFonts w:ascii="Arial" w:hAnsi="Arial" w:cs="Arial"/>
                <w:b/>
              </w:rPr>
              <w:t>Contact others</w:t>
            </w:r>
            <w:r>
              <w:rPr>
                <w:rFonts w:ascii="Arial" w:hAnsi="Arial" w:cs="Arial"/>
                <w:b/>
              </w:rPr>
              <w:t>,</w:t>
            </w:r>
            <w:r w:rsidRPr="00C90AF0">
              <w:rPr>
                <w:rFonts w:ascii="Arial" w:hAnsi="Arial" w:cs="Arial"/>
                <w:b/>
              </w:rPr>
              <w:t xml:space="preserve"> including:</w:t>
            </w:r>
          </w:p>
          <w:p w:rsidR="0065350C" w:rsidRPr="00C90AF0" w:rsidRDefault="0065350C" w:rsidP="0065350C">
            <w:pPr>
              <w:pStyle w:val="ListParagraph"/>
              <w:numPr>
                <w:ilvl w:val="0"/>
                <w:numId w:val="1"/>
              </w:numPr>
              <w:rPr>
                <w:rFonts w:ascii="Arial" w:hAnsi="Arial" w:cs="Arial"/>
              </w:rPr>
            </w:pPr>
            <w:r w:rsidRPr="00C90AF0">
              <w:rPr>
                <w:rFonts w:ascii="Arial" w:hAnsi="Arial" w:cs="Arial"/>
              </w:rPr>
              <w:t xml:space="preserve">family members </w:t>
            </w:r>
          </w:p>
          <w:p w:rsidR="0065350C" w:rsidRPr="00C90AF0" w:rsidRDefault="0065350C" w:rsidP="0065350C">
            <w:pPr>
              <w:pStyle w:val="ListParagraph"/>
              <w:numPr>
                <w:ilvl w:val="0"/>
                <w:numId w:val="1"/>
              </w:numPr>
              <w:rPr>
                <w:rFonts w:ascii="Arial" w:hAnsi="Arial" w:cs="Arial"/>
              </w:rPr>
            </w:pPr>
            <w:r w:rsidRPr="00C90AF0">
              <w:rPr>
                <w:rFonts w:ascii="Arial" w:hAnsi="Arial" w:cs="Arial"/>
              </w:rPr>
              <w:t>friends</w:t>
            </w:r>
          </w:p>
          <w:p w:rsidR="0065350C" w:rsidRPr="00C90AF0" w:rsidRDefault="0065350C" w:rsidP="0065350C">
            <w:pPr>
              <w:pStyle w:val="ListParagraph"/>
              <w:numPr>
                <w:ilvl w:val="0"/>
                <w:numId w:val="1"/>
              </w:numPr>
              <w:rPr>
                <w:rFonts w:ascii="Arial" w:hAnsi="Arial" w:cs="Arial"/>
              </w:rPr>
            </w:pPr>
            <w:r w:rsidRPr="00C90AF0">
              <w:rPr>
                <w:rFonts w:ascii="Arial" w:hAnsi="Arial" w:cs="Arial"/>
              </w:rPr>
              <w:t xml:space="preserve">the person’s employer </w:t>
            </w:r>
          </w:p>
          <w:p w:rsidR="0065350C" w:rsidRPr="00C90AF0" w:rsidRDefault="0065350C" w:rsidP="0065350C">
            <w:pPr>
              <w:pStyle w:val="ListParagraph"/>
              <w:numPr>
                <w:ilvl w:val="0"/>
                <w:numId w:val="1"/>
              </w:numPr>
              <w:rPr>
                <w:rFonts w:ascii="Arial" w:hAnsi="Arial" w:cs="Arial"/>
              </w:rPr>
            </w:pPr>
            <w:r w:rsidRPr="00C90AF0">
              <w:rPr>
                <w:rFonts w:ascii="Arial" w:hAnsi="Arial" w:cs="Arial"/>
              </w:rPr>
              <w:t>the military unit to which they are or were assigned if applicable</w:t>
            </w:r>
          </w:p>
          <w:p w:rsidR="0065350C" w:rsidRPr="00C90AF0" w:rsidRDefault="0065350C" w:rsidP="0065350C">
            <w:pPr>
              <w:pStyle w:val="ListParagraph"/>
              <w:numPr>
                <w:ilvl w:val="0"/>
                <w:numId w:val="1"/>
              </w:numPr>
              <w:rPr>
                <w:rFonts w:ascii="Arial" w:hAnsi="Arial" w:cs="Arial"/>
              </w:rPr>
            </w:pPr>
            <w:r w:rsidRPr="00C90AF0">
              <w:rPr>
                <w:rFonts w:ascii="Arial" w:hAnsi="Arial" w:cs="Arial"/>
              </w:rPr>
              <w:t xml:space="preserve">the individual’s community of faith </w:t>
            </w:r>
          </w:p>
          <w:p w:rsidR="0065350C" w:rsidRPr="00C90AF0" w:rsidRDefault="0065350C" w:rsidP="0065350C">
            <w:pPr>
              <w:pStyle w:val="ListParagraph"/>
              <w:numPr>
                <w:ilvl w:val="0"/>
                <w:numId w:val="1"/>
              </w:numPr>
              <w:rPr>
                <w:rFonts w:ascii="Arial" w:hAnsi="Arial" w:cs="Arial"/>
              </w:rPr>
            </w:pPr>
            <w:proofErr w:type="gramStart"/>
            <w:r w:rsidRPr="00C90AF0">
              <w:rPr>
                <w:rFonts w:ascii="Arial" w:hAnsi="Arial" w:cs="Arial"/>
              </w:rPr>
              <w:lastRenderedPageBreak/>
              <w:t>any</w:t>
            </w:r>
            <w:proofErr w:type="gramEnd"/>
            <w:r w:rsidRPr="00C90AF0">
              <w:rPr>
                <w:rFonts w:ascii="Arial" w:hAnsi="Arial" w:cs="Arial"/>
              </w:rPr>
              <w:t xml:space="preserve"> organizations to which the person belonged that played a significant role in his or her life.</w:t>
            </w:r>
          </w:p>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c>
          <w:tcPr>
            <w:tcW w:w="1530"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r>
      <w:tr w:rsidR="0065350C" w:rsidRPr="00C90AF0" w:rsidTr="003770DD">
        <w:tc>
          <w:tcPr>
            <w:tcW w:w="1512"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r>
              <w:rPr>
                <w:rFonts w:ascii="Arial" w:hAnsi="Arial" w:cs="Arial"/>
                <w:color w:val="000000"/>
                <w:sz w:val="24"/>
                <w:szCs w:val="24"/>
              </w:rPr>
              <w:t>Step 5</w:t>
            </w:r>
          </w:p>
        </w:tc>
        <w:tc>
          <w:tcPr>
            <w:tcW w:w="6246" w:type="dxa"/>
          </w:tcPr>
          <w:p w:rsidR="0065350C" w:rsidRPr="00C90AF0" w:rsidRDefault="0065350C" w:rsidP="003770DD">
            <w:pPr>
              <w:rPr>
                <w:rFonts w:ascii="Arial" w:hAnsi="Arial" w:cs="Arial"/>
              </w:rPr>
            </w:pPr>
            <w:r w:rsidRPr="00C90AF0">
              <w:rPr>
                <w:rFonts w:ascii="Arial" w:hAnsi="Arial" w:cs="Arial"/>
                <w:b/>
              </w:rPr>
              <w:t>Mak</w:t>
            </w:r>
            <w:r>
              <w:rPr>
                <w:rFonts w:ascii="Arial" w:hAnsi="Arial" w:cs="Arial"/>
                <w:b/>
              </w:rPr>
              <w:t>e</w:t>
            </w:r>
            <w:r w:rsidRPr="00C90AF0">
              <w:rPr>
                <w:rFonts w:ascii="Arial" w:hAnsi="Arial" w:cs="Arial"/>
                <w:b/>
              </w:rPr>
              <w:t xml:space="preserve"> final arrangements</w:t>
            </w:r>
            <w:r w:rsidRPr="00C90AF0">
              <w:rPr>
                <w:rFonts w:ascii="Arial" w:hAnsi="Arial" w:cs="Arial"/>
              </w:rPr>
              <w:t>—this could be burial or cremation with or without a service or memorial.</w:t>
            </w:r>
          </w:p>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c>
          <w:tcPr>
            <w:tcW w:w="1530"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r>
      <w:tr w:rsidR="0065350C" w:rsidRPr="00C90AF0" w:rsidTr="003770DD">
        <w:tc>
          <w:tcPr>
            <w:tcW w:w="9288" w:type="dxa"/>
            <w:gridSpan w:val="3"/>
          </w:tcPr>
          <w:p w:rsidR="0065350C" w:rsidRPr="00C90AF0" w:rsidRDefault="0065350C" w:rsidP="003770DD">
            <w:pPr>
              <w:rPr>
                <w:rFonts w:ascii="Arial" w:hAnsi="Arial" w:cs="Arial"/>
                <w:b/>
                <w:sz w:val="28"/>
              </w:rPr>
            </w:pPr>
            <w:r w:rsidRPr="00C90AF0">
              <w:rPr>
                <w:rFonts w:ascii="Arial" w:hAnsi="Arial" w:cs="Arial"/>
                <w:b/>
                <w:sz w:val="28"/>
              </w:rPr>
              <w:t>Within the first weeks after death, the following need to be addressed:</w:t>
            </w:r>
          </w:p>
        </w:tc>
      </w:tr>
      <w:tr w:rsidR="0065350C" w:rsidRPr="00C90AF0" w:rsidTr="003770DD">
        <w:tc>
          <w:tcPr>
            <w:tcW w:w="1512"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r>
              <w:rPr>
                <w:rFonts w:ascii="Arial" w:hAnsi="Arial" w:cs="Arial"/>
                <w:color w:val="000000"/>
                <w:sz w:val="24"/>
                <w:szCs w:val="24"/>
              </w:rPr>
              <w:t>Step 6</w:t>
            </w:r>
          </w:p>
        </w:tc>
        <w:tc>
          <w:tcPr>
            <w:tcW w:w="6246" w:type="dxa"/>
          </w:tcPr>
          <w:p w:rsidR="0065350C" w:rsidRPr="00C90AF0" w:rsidRDefault="0065350C" w:rsidP="003770DD">
            <w:pPr>
              <w:rPr>
                <w:rFonts w:ascii="Arial" w:hAnsi="Arial" w:cs="Arial"/>
              </w:rPr>
            </w:pPr>
            <w:r w:rsidRPr="00C90AF0">
              <w:rPr>
                <w:rFonts w:ascii="Arial" w:hAnsi="Arial" w:cs="Arial"/>
                <w:b/>
              </w:rPr>
              <w:t>Get copies of the death certificate</w:t>
            </w:r>
            <w:r>
              <w:rPr>
                <w:rFonts w:ascii="Arial" w:hAnsi="Arial" w:cs="Arial"/>
              </w:rPr>
              <w:t>—you’ll need to go to the CDC’s website.  Visit:</w:t>
            </w:r>
            <w:r w:rsidRPr="00C90AF0">
              <w:rPr>
                <w:rFonts w:ascii="Arial" w:hAnsi="Arial" w:cs="Arial"/>
                <w:b/>
              </w:rPr>
              <w:t xml:space="preserve"> </w:t>
            </w:r>
            <w:hyperlink r:id="rId5" w:history="1">
              <w:r w:rsidRPr="00C90AF0">
                <w:rPr>
                  <w:rStyle w:val="Hyperlink"/>
                  <w:rFonts w:ascii="Arial" w:hAnsi="Arial" w:cs="Arial"/>
                </w:rPr>
                <w:t>http://www.cdc.gov/nchs/w2w/index.htm</w:t>
              </w:r>
            </w:hyperlink>
            <w:r>
              <w:rPr>
                <w:rFonts w:ascii="Arial" w:hAnsi="Arial" w:cs="Arial"/>
                <w:b/>
              </w:rPr>
              <w:t xml:space="preserve">. </w:t>
            </w:r>
            <w:r>
              <w:rPr>
                <w:rFonts w:ascii="Arial" w:hAnsi="Arial" w:cs="Arial"/>
              </w:rPr>
              <w:t>Y</w:t>
            </w:r>
            <w:r w:rsidRPr="00C90AF0">
              <w:rPr>
                <w:rFonts w:ascii="Arial" w:hAnsi="Arial" w:cs="Arial"/>
              </w:rPr>
              <w:t>ou will need 10 – 20 copies. A wide range of institutions from banks and credit unions to credit card and insurance companies may require a death certificate before they will discuss your loved one’s account information with you or pay you death benefits.</w:t>
            </w:r>
          </w:p>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c>
          <w:tcPr>
            <w:tcW w:w="1530"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r>
      <w:tr w:rsidR="0065350C" w:rsidRPr="00C90AF0" w:rsidTr="003770DD">
        <w:trPr>
          <w:trHeight w:val="2816"/>
        </w:trPr>
        <w:tc>
          <w:tcPr>
            <w:tcW w:w="1512"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r>
              <w:rPr>
                <w:rFonts w:ascii="Arial" w:hAnsi="Arial" w:cs="Arial"/>
                <w:color w:val="000000"/>
                <w:sz w:val="24"/>
                <w:szCs w:val="24"/>
              </w:rPr>
              <w:t>Step 7</w:t>
            </w:r>
          </w:p>
        </w:tc>
        <w:tc>
          <w:tcPr>
            <w:tcW w:w="6246" w:type="dxa"/>
          </w:tcPr>
          <w:p w:rsidR="0065350C" w:rsidRPr="00C90AF0" w:rsidRDefault="0065350C" w:rsidP="003770DD">
            <w:pPr>
              <w:rPr>
                <w:rFonts w:ascii="Arial" w:hAnsi="Arial" w:cs="Arial"/>
              </w:rPr>
            </w:pPr>
            <w:r w:rsidRPr="00C90AF0">
              <w:rPr>
                <w:rFonts w:ascii="Arial" w:hAnsi="Arial" w:cs="Arial"/>
                <w:b/>
              </w:rPr>
              <w:t>Get letters of “administration,” “representation,” or “testamentary”</w:t>
            </w:r>
            <w:r w:rsidRPr="00C90AF0">
              <w:rPr>
                <w:rFonts w:ascii="Arial" w:hAnsi="Arial" w:cs="Arial"/>
              </w:rPr>
              <w:t>—</w:t>
            </w:r>
            <w:r w:rsidRPr="00C72D58">
              <w:rPr>
                <w:rFonts w:ascii="Times New Roman" w:hAnsi="Times New Roman" w:cs="Times New Roman"/>
              </w:rPr>
              <w:t xml:space="preserve"> </w:t>
            </w:r>
            <w:r w:rsidRPr="00CA7A2B">
              <w:rPr>
                <w:rFonts w:ascii="Arial" w:hAnsi="Arial" w:cs="Arial"/>
              </w:rPr>
              <w:t>these come from probate court and give you the authority to settle the business of the person who died.  If there is a will, the executor of the will must get a letter of testamentary. If you are the spouse, partner, or next of kin of someone that died without a will, you can get a letter of administration or representation from the probate court that will allow you to settle their affairs.</w:t>
            </w:r>
            <w:r w:rsidRPr="00C72D58">
              <w:rPr>
                <w:rFonts w:ascii="Times New Roman" w:hAnsi="Times New Roman" w:cs="Times New Roman"/>
              </w:rPr>
              <w:t xml:space="preserve">   </w:t>
            </w:r>
          </w:p>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c>
          <w:tcPr>
            <w:tcW w:w="1530"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r>
      <w:tr w:rsidR="0065350C" w:rsidRPr="00C90AF0" w:rsidTr="003770DD">
        <w:tc>
          <w:tcPr>
            <w:tcW w:w="1512"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r>
              <w:rPr>
                <w:rFonts w:ascii="Arial" w:hAnsi="Arial" w:cs="Arial"/>
                <w:color w:val="000000"/>
                <w:sz w:val="24"/>
                <w:szCs w:val="24"/>
              </w:rPr>
              <w:t>Step 8</w:t>
            </w:r>
          </w:p>
        </w:tc>
        <w:tc>
          <w:tcPr>
            <w:tcW w:w="6246" w:type="dxa"/>
          </w:tcPr>
          <w:p w:rsidR="0065350C" w:rsidRPr="00C90AF0" w:rsidRDefault="0065350C" w:rsidP="003770DD">
            <w:pPr>
              <w:rPr>
                <w:rFonts w:ascii="Arial" w:hAnsi="Arial" w:cs="Arial"/>
                <w:b/>
              </w:rPr>
            </w:pPr>
            <w:r w:rsidRPr="00C90AF0">
              <w:rPr>
                <w:rFonts w:ascii="Arial" w:hAnsi="Arial" w:cs="Arial"/>
                <w:b/>
              </w:rPr>
              <w:t>Secur</w:t>
            </w:r>
            <w:r>
              <w:rPr>
                <w:rFonts w:ascii="Arial" w:hAnsi="Arial" w:cs="Arial"/>
                <w:b/>
              </w:rPr>
              <w:t>e</w:t>
            </w:r>
            <w:r w:rsidRPr="00C90AF0">
              <w:rPr>
                <w:rFonts w:ascii="Arial" w:hAnsi="Arial" w:cs="Arial"/>
                <w:b/>
              </w:rPr>
              <w:t xml:space="preserve"> the home if the person lived alone.</w:t>
            </w:r>
          </w:p>
          <w:p w:rsidR="0065350C" w:rsidRPr="00C90AF0" w:rsidRDefault="0065350C" w:rsidP="003770DD">
            <w:pPr>
              <w:rPr>
                <w:rFonts w:ascii="Arial" w:hAnsi="Arial" w:cs="Arial"/>
                <w:b/>
              </w:rPr>
            </w:pPr>
            <w:r w:rsidRPr="00C90AF0">
              <w:rPr>
                <w:rFonts w:ascii="Arial" w:hAnsi="Arial" w:cs="Arial"/>
                <w:b/>
              </w:rPr>
              <w:t>Find financial documents:</w:t>
            </w:r>
          </w:p>
          <w:p w:rsidR="0065350C" w:rsidRPr="00C90AF0" w:rsidRDefault="0065350C" w:rsidP="0065350C">
            <w:pPr>
              <w:pStyle w:val="ListParagraph"/>
              <w:numPr>
                <w:ilvl w:val="0"/>
                <w:numId w:val="2"/>
              </w:numPr>
              <w:rPr>
                <w:rFonts w:ascii="Arial" w:hAnsi="Arial" w:cs="Arial"/>
                <w:b/>
              </w:rPr>
            </w:pPr>
            <w:r w:rsidRPr="00C90AF0">
              <w:rPr>
                <w:rFonts w:ascii="Arial" w:hAnsi="Arial" w:cs="Arial"/>
                <w:b/>
              </w:rPr>
              <w:t>The will</w:t>
            </w:r>
          </w:p>
          <w:p w:rsidR="0065350C" w:rsidRPr="00C90AF0" w:rsidRDefault="0065350C" w:rsidP="0065350C">
            <w:pPr>
              <w:pStyle w:val="ListParagraph"/>
              <w:numPr>
                <w:ilvl w:val="0"/>
                <w:numId w:val="2"/>
              </w:numPr>
              <w:rPr>
                <w:rFonts w:ascii="Arial" w:hAnsi="Arial" w:cs="Arial"/>
              </w:rPr>
            </w:pPr>
            <w:r w:rsidRPr="00C90AF0">
              <w:rPr>
                <w:rFonts w:ascii="Arial" w:hAnsi="Arial" w:cs="Arial"/>
                <w:b/>
              </w:rPr>
              <w:t>Records of accounts</w:t>
            </w:r>
            <w:r w:rsidRPr="00C90AF0">
              <w:rPr>
                <w:rFonts w:ascii="Arial" w:hAnsi="Arial" w:cs="Arial"/>
              </w:rPr>
              <w:t>—these can be most recent statements from banks or credit unions, retirement accounts, and investments</w:t>
            </w:r>
            <w:r>
              <w:rPr>
                <w:rFonts w:ascii="Arial" w:hAnsi="Arial" w:cs="Arial"/>
              </w:rPr>
              <w:t>; look for beneficiary designations on these accounts.</w:t>
            </w:r>
          </w:p>
          <w:p w:rsidR="0065350C" w:rsidRPr="00C90AF0" w:rsidRDefault="0065350C" w:rsidP="0065350C">
            <w:pPr>
              <w:pStyle w:val="ListParagraph"/>
              <w:numPr>
                <w:ilvl w:val="0"/>
                <w:numId w:val="2"/>
              </w:numPr>
              <w:rPr>
                <w:rFonts w:ascii="Arial" w:hAnsi="Arial" w:cs="Arial"/>
              </w:rPr>
            </w:pPr>
            <w:r w:rsidRPr="00C90AF0">
              <w:rPr>
                <w:rFonts w:ascii="Arial" w:hAnsi="Arial" w:cs="Arial"/>
                <w:b/>
              </w:rPr>
              <w:t>Records of debts</w:t>
            </w:r>
            <w:r w:rsidRPr="00C90AF0">
              <w:rPr>
                <w:rFonts w:ascii="Arial" w:hAnsi="Arial" w:cs="Arial"/>
              </w:rPr>
              <w:t>—these can be the most recent credit card, mortgage, auto loan, student loan, or any other kind of debt statements</w:t>
            </w:r>
          </w:p>
          <w:p w:rsidR="0065350C" w:rsidRPr="00C90AF0" w:rsidRDefault="0065350C" w:rsidP="0065350C">
            <w:pPr>
              <w:pStyle w:val="ListParagraph"/>
              <w:numPr>
                <w:ilvl w:val="0"/>
                <w:numId w:val="2"/>
              </w:numPr>
              <w:rPr>
                <w:rFonts w:ascii="Arial" w:hAnsi="Arial" w:cs="Arial"/>
              </w:rPr>
            </w:pPr>
            <w:r w:rsidRPr="00C90AF0">
              <w:rPr>
                <w:rFonts w:ascii="Arial" w:hAnsi="Arial" w:cs="Arial"/>
                <w:b/>
              </w:rPr>
              <w:t>Copies of all insurance policies</w:t>
            </w:r>
            <w:r w:rsidRPr="00C90AF0">
              <w:rPr>
                <w:rFonts w:ascii="Arial" w:hAnsi="Arial" w:cs="Arial"/>
              </w:rPr>
              <w:t>—life, health, disability, homeowners, auto, and any others</w:t>
            </w:r>
            <w:r>
              <w:rPr>
                <w:rFonts w:ascii="Arial" w:hAnsi="Arial" w:cs="Arial"/>
              </w:rPr>
              <w:t>; this will include beneficiary designations.</w:t>
            </w:r>
          </w:p>
          <w:p w:rsidR="0065350C" w:rsidRPr="00C90AF0" w:rsidRDefault="0065350C" w:rsidP="0065350C">
            <w:pPr>
              <w:pStyle w:val="ListParagraph"/>
              <w:numPr>
                <w:ilvl w:val="0"/>
                <w:numId w:val="2"/>
              </w:numPr>
              <w:rPr>
                <w:rFonts w:ascii="Arial" w:hAnsi="Arial" w:cs="Arial"/>
                <w:b/>
              </w:rPr>
            </w:pPr>
            <w:r w:rsidRPr="00C90AF0">
              <w:rPr>
                <w:rFonts w:ascii="Arial" w:hAnsi="Arial" w:cs="Arial"/>
                <w:b/>
              </w:rPr>
              <w:t>Identification documents</w:t>
            </w:r>
          </w:p>
          <w:p w:rsidR="0065350C" w:rsidRPr="00C90AF0" w:rsidRDefault="0065350C" w:rsidP="0065350C">
            <w:pPr>
              <w:pStyle w:val="ListParagraph"/>
              <w:numPr>
                <w:ilvl w:val="0"/>
                <w:numId w:val="2"/>
              </w:numPr>
              <w:rPr>
                <w:rFonts w:ascii="Arial" w:hAnsi="Arial" w:cs="Arial"/>
                <w:b/>
              </w:rPr>
            </w:pPr>
            <w:r w:rsidRPr="00C90AF0">
              <w:rPr>
                <w:rFonts w:ascii="Arial" w:hAnsi="Arial" w:cs="Arial"/>
                <w:b/>
              </w:rPr>
              <w:t>Marriage and birth certificates</w:t>
            </w:r>
          </w:p>
          <w:p w:rsidR="0065350C" w:rsidRPr="00C90AF0" w:rsidRDefault="0065350C" w:rsidP="0065350C">
            <w:pPr>
              <w:pStyle w:val="ListParagraph"/>
              <w:numPr>
                <w:ilvl w:val="0"/>
                <w:numId w:val="2"/>
              </w:numPr>
              <w:rPr>
                <w:rFonts w:ascii="Arial" w:hAnsi="Arial" w:cs="Arial"/>
                <w:b/>
              </w:rPr>
            </w:pPr>
            <w:r w:rsidRPr="00C90AF0">
              <w:rPr>
                <w:rFonts w:ascii="Arial" w:hAnsi="Arial" w:cs="Arial"/>
                <w:b/>
              </w:rPr>
              <w:t>Tax returns from the last two years</w:t>
            </w:r>
          </w:p>
          <w:p w:rsidR="0065350C" w:rsidRPr="00C90AF0" w:rsidRDefault="0065350C" w:rsidP="0065350C">
            <w:pPr>
              <w:pStyle w:val="ListParagraph"/>
              <w:numPr>
                <w:ilvl w:val="0"/>
                <w:numId w:val="2"/>
              </w:numPr>
              <w:rPr>
                <w:rFonts w:ascii="Arial" w:hAnsi="Arial" w:cs="Arial"/>
                <w:b/>
              </w:rPr>
            </w:pPr>
            <w:r w:rsidRPr="00C90AF0">
              <w:rPr>
                <w:rFonts w:ascii="Arial" w:hAnsi="Arial" w:cs="Arial"/>
                <w:b/>
              </w:rPr>
              <w:t>Copies of credit reports from Equifax, Experian, and TransUnion</w:t>
            </w:r>
            <w:r>
              <w:rPr>
                <w:rFonts w:ascii="Arial" w:hAnsi="Arial" w:cs="Arial"/>
                <w:b/>
              </w:rPr>
              <w:t>—</w:t>
            </w:r>
            <w:r w:rsidRPr="00C90AF0">
              <w:rPr>
                <w:rFonts w:ascii="Arial" w:hAnsi="Arial" w:cs="Arial"/>
                <w:b/>
              </w:rPr>
              <w:t>these should be recent copies.</w:t>
            </w:r>
          </w:p>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c>
          <w:tcPr>
            <w:tcW w:w="1530"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r>
      <w:tr w:rsidR="0065350C" w:rsidRPr="00C90AF0" w:rsidTr="003770DD">
        <w:tc>
          <w:tcPr>
            <w:tcW w:w="1512"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r>
              <w:rPr>
                <w:rFonts w:ascii="Arial" w:hAnsi="Arial" w:cs="Arial"/>
                <w:color w:val="000000"/>
                <w:sz w:val="24"/>
                <w:szCs w:val="24"/>
              </w:rPr>
              <w:t>Step 9</w:t>
            </w:r>
          </w:p>
        </w:tc>
        <w:tc>
          <w:tcPr>
            <w:tcW w:w="6246" w:type="dxa"/>
          </w:tcPr>
          <w:p w:rsidR="0065350C" w:rsidRPr="00C90AF0" w:rsidRDefault="0065350C" w:rsidP="003770DD">
            <w:pPr>
              <w:rPr>
                <w:rFonts w:ascii="Arial" w:hAnsi="Arial" w:cs="Arial"/>
                <w:b/>
              </w:rPr>
            </w:pPr>
            <w:r w:rsidRPr="00C90AF0">
              <w:rPr>
                <w:rFonts w:ascii="Arial" w:hAnsi="Arial" w:cs="Arial"/>
                <w:b/>
              </w:rPr>
              <w:t>Notify important institutions:</w:t>
            </w:r>
          </w:p>
          <w:p w:rsidR="0065350C" w:rsidRPr="00E94BF4" w:rsidRDefault="0065350C" w:rsidP="0065350C">
            <w:pPr>
              <w:pStyle w:val="ListParagraph"/>
              <w:numPr>
                <w:ilvl w:val="0"/>
                <w:numId w:val="3"/>
              </w:numPr>
              <w:rPr>
                <w:rFonts w:ascii="Arial" w:hAnsi="Arial" w:cs="Arial"/>
              </w:rPr>
            </w:pPr>
            <w:r w:rsidRPr="00C90AF0">
              <w:rPr>
                <w:rFonts w:ascii="Arial" w:hAnsi="Arial" w:cs="Arial"/>
                <w:b/>
              </w:rPr>
              <w:t>The Social Security Administration</w:t>
            </w:r>
            <w:r w:rsidRPr="00C90AF0">
              <w:rPr>
                <w:rFonts w:ascii="Arial" w:hAnsi="Arial" w:cs="Arial"/>
              </w:rPr>
              <w:t>—</w:t>
            </w:r>
            <w:r w:rsidRPr="00C72D58">
              <w:rPr>
                <w:rFonts w:ascii="Times New Roman" w:hAnsi="Times New Roman" w:cs="Times New Roman"/>
              </w:rPr>
              <w:t xml:space="preserve"> </w:t>
            </w:r>
            <w:r w:rsidRPr="00CA7A2B">
              <w:rPr>
                <w:rFonts w:ascii="Arial" w:hAnsi="Arial" w:cs="Arial"/>
              </w:rPr>
              <w:t xml:space="preserve">there may be a </w:t>
            </w:r>
            <w:r w:rsidRPr="00CA7A2B">
              <w:rPr>
                <w:rFonts w:ascii="Arial" w:hAnsi="Arial" w:cs="Arial"/>
                <w:b/>
                <w:u w:val="single"/>
              </w:rPr>
              <w:t>death benefit</w:t>
            </w:r>
            <w:r w:rsidRPr="00CA7A2B">
              <w:rPr>
                <w:rFonts w:ascii="Arial" w:hAnsi="Arial" w:cs="Arial"/>
              </w:rPr>
              <w:t xml:space="preserve"> that beneficiaries are entitled to. In addition, the person’s Social Security number will be placed on the master death list preventing identity thieves from using it.</w:t>
            </w:r>
          </w:p>
          <w:p w:rsidR="0065350C" w:rsidRPr="00C90AF0" w:rsidRDefault="0065350C" w:rsidP="0065350C">
            <w:pPr>
              <w:pStyle w:val="ListParagraph"/>
              <w:numPr>
                <w:ilvl w:val="0"/>
                <w:numId w:val="3"/>
              </w:numPr>
              <w:rPr>
                <w:rFonts w:ascii="Arial" w:hAnsi="Arial" w:cs="Arial"/>
                <w:b/>
              </w:rPr>
            </w:pPr>
            <w:r w:rsidRPr="00C90AF0">
              <w:rPr>
                <w:rFonts w:ascii="Arial" w:hAnsi="Arial" w:cs="Arial"/>
                <w:b/>
              </w:rPr>
              <w:t>Financial institutions where the individual had accounts</w:t>
            </w:r>
          </w:p>
          <w:p w:rsidR="0065350C" w:rsidRPr="00C90AF0" w:rsidRDefault="0065350C" w:rsidP="0065350C">
            <w:pPr>
              <w:pStyle w:val="ListParagraph"/>
              <w:numPr>
                <w:ilvl w:val="0"/>
                <w:numId w:val="3"/>
              </w:numPr>
              <w:rPr>
                <w:rFonts w:ascii="Arial" w:hAnsi="Arial" w:cs="Arial"/>
                <w:b/>
              </w:rPr>
            </w:pPr>
            <w:r w:rsidRPr="00C90AF0">
              <w:rPr>
                <w:rFonts w:ascii="Arial" w:hAnsi="Arial" w:cs="Arial"/>
                <w:b/>
              </w:rPr>
              <w:t>Insurance companies</w:t>
            </w:r>
          </w:p>
          <w:p w:rsidR="0065350C" w:rsidRPr="00CF4AE2" w:rsidRDefault="0065350C" w:rsidP="0065350C">
            <w:pPr>
              <w:pStyle w:val="ListParagraph"/>
              <w:numPr>
                <w:ilvl w:val="0"/>
                <w:numId w:val="3"/>
              </w:numPr>
              <w:rPr>
                <w:rFonts w:ascii="Arial" w:hAnsi="Arial" w:cs="Arial"/>
                <w:b/>
              </w:rPr>
            </w:pPr>
            <w:r w:rsidRPr="00CF4AE2">
              <w:rPr>
                <w:rFonts w:ascii="Arial" w:hAnsi="Arial" w:cs="Arial"/>
                <w:b/>
              </w:rPr>
              <w:t xml:space="preserve">Credit bureaus—Equifax, Experian, and TransUnion </w:t>
            </w:r>
          </w:p>
          <w:p w:rsidR="0065350C" w:rsidRPr="00C90AF0" w:rsidRDefault="0065350C" w:rsidP="0065350C">
            <w:pPr>
              <w:pStyle w:val="ListParagraph"/>
              <w:numPr>
                <w:ilvl w:val="0"/>
                <w:numId w:val="3"/>
              </w:numPr>
              <w:rPr>
                <w:rFonts w:ascii="Arial" w:hAnsi="Arial" w:cs="Arial"/>
                <w:b/>
              </w:rPr>
            </w:pPr>
            <w:r w:rsidRPr="00C90AF0">
              <w:rPr>
                <w:rFonts w:ascii="Arial" w:hAnsi="Arial" w:cs="Arial"/>
                <w:b/>
              </w:rPr>
              <w:t>Credit card companies</w:t>
            </w:r>
          </w:p>
          <w:p w:rsidR="0065350C" w:rsidRPr="00C90AF0" w:rsidRDefault="0065350C" w:rsidP="0065350C">
            <w:pPr>
              <w:pStyle w:val="ListParagraph"/>
              <w:numPr>
                <w:ilvl w:val="0"/>
                <w:numId w:val="3"/>
              </w:numPr>
              <w:rPr>
                <w:rFonts w:ascii="Arial" w:hAnsi="Arial" w:cs="Arial"/>
              </w:rPr>
            </w:pPr>
            <w:r w:rsidRPr="00C90AF0">
              <w:rPr>
                <w:rFonts w:ascii="Arial" w:hAnsi="Arial" w:cs="Arial"/>
                <w:b/>
              </w:rPr>
              <w:t>Creditors</w:t>
            </w:r>
            <w:r w:rsidRPr="00C90AF0">
              <w:rPr>
                <w:rFonts w:ascii="Arial" w:hAnsi="Arial" w:cs="Arial"/>
              </w:rPr>
              <w:t>--any business or organization t</w:t>
            </w:r>
            <w:r>
              <w:rPr>
                <w:rFonts w:ascii="Arial" w:hAnsi="Arial" w:cs="Arial"/>
              </w:rPr>
              <w:t xml:space="preserve">o which the person </w:t>
            </w:r>
            <w:r w:rsidRPr="00C90AF0">
              <w:rPr>
                <w:rFonts w:ascii="Arial" w:hAnsi="Arial" w:cs="Arial"/>
              </w:rPr>
              <w:t>owed money</w:t>
            </w:r>
          </w:p>
          <w:p w:rsidR="0065350C" w:rsidRPr="00C90AF0" w:rsidRDefault="0065350C" w:rsidP="0065350C">
            <w:pPr>
              <w:pStyle w:val="ListParagraph"/>
              <w:numPr>
                <w:ilvl w:val="0"/>
                <w:numId w:val="3"/>
              </w:numPr>
              <w:rPr>
                <w:rFonts w:ascii="Arial" w:hAnsi="Arial" w:cs="Arial"/>
                <w:b/>
              </w:rPr>
            </w:pPr>
            <w:r w:rsidRPr="00C90AF0">
              <w:rPr>
                <w:rFonts w:ascii="Arial" w:hAnsi="Arial" w:cs="Arial"/>
                <w:b/>
              </w:rPr>
              <w:t>Utility companies</w:t>
            </w:r>
          </w:p>
          <w:p w:rsidR="0065350C" w:rsidRDefault="0065350C" w:rsidP="0065350C">
            <w:pPr>
              <w:pStyle w:val="ListParagraph"/>
              <w:numPr>
                <w:ilvl w:val="0"/>
                <w:numId w:val="3"/>
              </w:numPr>
              <w:rPr>
                <w:rFonts w:ascii="Arial" w:hAnsi="Arial" w:cs="Arial"/>
              </w:rPr>
            </w:pPr>
            <w:r w:rsidRPr="00C90AF0">
              <w:rPr>
                <w:rFonts w:ascii="Arial" w:hAnsi="Arial" w:cs="Arial"/>
                <w:b/>
              </w:rPr>
              <w:t>The post office</w:t>
            </w:r>
            <w:r w:rsidRPr="00C90AF0">
              <w:rPr>
                <w:rFonts w:ascii="Arial" w:hAnsi="Arial" w:cs="Arial"/>
              </w:rPr>
              <w:t>—they don’t need notice of death, but you will need to reroute the mail to the executor or administrator of the estate</w:t>
            </w:r>
          </w:p>
          <w:p w:rsidR="0065350C" w:rsidRPr="00CF4AE2" w:rsidRDefault="0065350C" w:rsidP="0065350C">
            <w:pPr>
              <w:pStyle w:val="ListParagraph"/>
              <w:numPr>
                <w:ilvl w:val="0"/>
                <w:numId w:val="3"/>
              </w:numPr>
              <w:rPr>
                <w:rFonts w:ascii="Arial" w:hAnsi="Arial" w:cs="Arial"/>
              </w:rPr>
            </w:pPr>
            <w:r w:rsidRPr="00CF4AE2">
              <w:rPr>
                <w:rFonts w:ascii="Arial" w:hAnsi="Arial" w:cs="Arial"/>
                <w:b/>
              </w:rPr>
              <w:t>Department of Motor Vehicles</w:t>
            </w:r>
            <w:r w:rsidRPr="00CF4AE2">
              <w:rPr>
                <w:rFonts w:ascii="Arial" w:hAnsi="Arial" w:cs="Arial"/>
              </w:rPr>
              <w:t xml:space="preserve">—you will want to cancel the person’s driver’s license or ID, license plates, </w:t>
            </w:r>
            <w:r>
              <w:rPr>
                <w:rFonts w:ascii="Arial" w:hAnsi="Arial" w:cs="Arial"/>
              </w:rPr>
              <w:t>and d</w:t>
            </w:r>
            <w:r w:rsidRPr="00CF4AE2">
              <w:rPr>
                <w:rFonts w:ascii="Arial" w:hAnsi="Arial" w:cs="Arial"/>
              </w:rPr>
              <w:t xml:space="preserve">isabled placards, </w:t>
            </w:r>
            <w:r>
              <w:rPr>
                <w:rFonts w:ascii="Arial" w:hAnsi="Arial" w:cs="Arial"/>
              </w:rPr>
              <w:t xml:space="preserve">and </w:t>
            </w:r>
            <w:r w:rsidRPr="00CF4AE2">
              <w:rPr>
                <w:rFonts w:ascii="Arial" w:hAnsi="Arial" w:cs="Arial"/>
              </w:rPr>
              <w:t>transfer vehicle registration</w:t>
            </w:r>
            <w:r>
              <w:rPr>
                <w:rFonts w:ascii="Arial" w:hAnsi="Arial" w:cs="Arial"/>
              </w:rPr>
              <w:t xml:space="preserve"> and </w:t>
            </w:r>
            <w:r w:rsidRPr="00CF4AE2">
              <w:rPr>
                <w:rFonts w:ascii="Arial" w:hAnsi="Arial" w:cs="Arial"/>
              </w:rPr>
              <w:t>ownership</w:t>
            </w:r>
          </w:p>
        </w:tc>
        <w:tc>
          <w:tcPr>
            <w:tcW w:w="1530"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r>
      <w:tr w:rsidR="0065350C" w:rsidRPr="00C90AF0" w:rsidTr="003770DD">
        <w:tc>
          <w:tcPr>
            <w:tcW w:w="1512"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r>
              <w:rPr>
                <w:rFonts w:ascii="Arial" w:hAnsi="Arial" w:cs="Arial"/>
                <w:color w:val="000000"/>
                <w:sz w:val="24"/>
                <w:szCs w:val="24"/>
              </w:rPr>
              <w:t>Step 10</w:t>
            </w:r>
          </w:p>
        </w:tc>
        <w:tc>
          <w:tcPr>
            <w:tcW w:w="6246" w:type="dxa"/>
          </w:tcPr>
          <w:p w:rsidR="0065350C" w:rsidRPr="00CF4AE2" w:rsidRDefault="0065350C" w:rsidP="003770DD">
            <w:pPr>
              <w:rPr>
                <w:rFonts w:ascii="Arial" w:hAnsi="Arial" w:cs="Arial"/>
                <w:b/>
              </w:rPr>
            </w:pPr>
            <w:r w:rsidRPr="00CF4AE2">
              <w:rPr>
                <w:rFonts w:ascii="Arial" w:hAnsi="Arial" w:cs="Arial"/>
                <w:b/>
              </w:rPr>
              <w:t>Opt out of prescreened offers and direct marketing.  This may prevent unwanted offers or mail from ending up in the wrong hands.</w:t>
            </w:r>
          </w:p>
          <w:p w:rsidR="0065350C" w:rsidRPr="00C90AF0" w:rsidRDefault="0065350C" w:rsidP="0065350C">
            <w:pPr>
              <w:pStyle w:val="ListParagraph"/>
              <w:numPr>
                <w:ilvl w:val="0"/>
                <w:numId w:val="4"/>
              </w:numPr>
              <w:rPr>
                <w:rFonts w:ascii="Arial" w:hAnsi="Arial" w:cs="Arial"/>
                <w:color w:val="000000"/>
              </w:rPr>
            </w:pPr>
            <w:r w:rsidRPr="00C90AF0">
              <w:rPr>
                <w:rStyle w:val="Strong"/>
                <w:rFonts w:ascii="Arial" w:hAnsi="Arial" w:cs="Arial"/>
                <w:color w:val="000000"/>
              </w:rPr>
              <w:t xml:space="preserve">To opt out of prescreened offers permanently, visit </w:t>
            </w:r>
            <w:r w:rsidRPr="00C90AF0">
              <w:rPr>
                <w:rFonts w:ascii="Arial" w:hAnsi="Arial" w:cs="Arial"/>
                <w:color w:val="000000"/>
              </w:rPr>
              <w:t>t</w:t>
            </w:r>
            <w:hyperlink r:id="rId6" w:history="1">
              <w:r w:rsidRPr="00C90AF0">
                <w:rPr>
                  <w:rStyle w:val="Hyperlink"/>
                  <w:rFonts w:ascii="Arial" w:hAnsi="Arial" w:cs="Arial"/>
                  <w:color w:val="2B93D9"/>
                </w:rPr>
                <w:t>www.optoutprescreen.com</w:t>
              </w:r>
            </w:hyperlink>
            <w:r w:rsidRPr="00C90AF0">
              <w:rPr>
                <w:rFonts w:ascii="Arial" w:hAnsi="Arial" w:cs="Arial"/>
                <w:color w:val="000000"/>
              </w:rPr>
              <w:t>.</w:t>
            </w:r>
          </w:p>
          <w:p w:rsidR="0065350C" w:rsidRDefault="0065350C" w:rsidP="0065350C">
            <w:pPr>
              <w:pStyle w:val="ListParagraph"/>
              <w:numPr>
                <w:ilvl w:val="0"/>
                <w:numId w:val="4"/>
              </w:numPr>
              <w:rPr>
                <w:rFonts w:ascii="Arial" w:hAnsi="Arial" w:cs="Arial"/>
                <w:color w:val="000000"/>
              </w:rPr>
            </w:pPr>
            <w:r w:rsidRPr="00C90AF0">
              <w:rPr>
                <w:rFonts w:ascii="Arial" w:hAnsi="Arial" w:cs="Arial"/>
                <w:b/>
                <w:color w:val="000000"/>
              </w:rPr>
              <w:t xml:space="preserve">To prevent unwanted calls, </w:t>
            </w:r>
            <w:r w:rsidRPr="00C90AF0">
              <w:rPr>
                <w:rFonts w:ascii="Arial" w:hAnsi="Arial" w:cs="Arial"/>
                <w:color w:val="000000"/>
              </w:rPr>
              <w:t xml:space="preserve">contact the National Do Not Call at </w:t>
            </w:r>
            <w:hyperlink r:id="rId7" w:history="1">
              <w:r w:rsidRPr="00C90AF0">
                <w:rPr>
                  <w:rStyle w:val="Hyperlink"/>
                  <w:rFonts w:ascii="Arial" w:hAnsi="Arial" w:cs="Arial"/>
                  <w:color w:val="2B93D9"/>
                </w:rPr>
                <w:t>www.donotcall.gov</w:t>
              </w:r>
            </w:hyperlink>
            <w:r w:rsidRPr="00C90AF0">
              <w:rPr>
                <w:rFonts w:ascii="Arial" w:hAnsi="Arial" w:cs="Arial"/>
                <w:color w:val="000000"/>
              </w:rPr>
              <w:t xml:space="preserve">, or call 1-888-382-1222 </w:t>
            </w:r>
          </w:p>
          <w:p w:rsidR="0065350C" w:rsidRPr="00CF4AE2" w:rsidRDefault="0065350C" w:rsidP="003770DD">
            <w:pPr>
              <w:pStyle w:val="NormalWeb"/>
              <w:shd w:val="clear" w:color="auto" w:fill="FFFFFF"/>
              <w:spacing w:before="0" w:beforeAutospacing="0" w:after="0" w:afterAutospacing="0" w:line="315" w:lineRule="atLeast"/>
              <w:rPr>
                <w:rFonts w:ascii="Arial" w:hAnsi="Arial" w:cs="Arial"/>
                <w:color w:val="000000"/>
                <w:sz w:val="24"/>
                <w:szCs w:val="24"/>
              </w:rPr>
            </w:pPr>
            <w:r w:rsidRPr="00C90AF0">
              <w:rPr>
                <w:rFonts w:ascii="Arial" w:hAnsi="Arial" w:cs="Arial"/>
                <w:b/>
                <w:color w:val="000000"/>
                <w:sz w:val="24"/>
                <w:szCs w:val="24"/>
              </w:rPr>
              <w:t>To prevent unwanted offers via the mail</w:t>
            </w:r>
            <w:r w:rsidRPr="00C90AF0">
              <w:rPr>
                <w:rFonts w:ascii="Arial" w:hAnsi="Arial" w:cs="Arial"/>
                <w:color w:val="000000"/>
                <w:sz w:val="24"/>
                <w:szCs w:val="24"/>
              </w:rPr>
              <w:t>, contact the Direct Marketing Association's (DMA) Mail Preference Service (MPS).  To register with DMA's Mail Preference Service, go to</w:t>
            </w:r>
            <w:r>
              <w:rPr>
                <w:rFonts w:ascii="Arial" w:hAnsi="Arial" w:cs="Arial"/>
                <w:color w:val="000000"/>
                <w:sz w:val="24"/>
                <w:szCs w:val="24"/>
              </w:rPr>
              <w:t xml:space="preserve"> </w:t>
            </w:r>
            <w:hyperlink r:id="rId8" w:history="1">
              <w:r w:rsidRPr="00C90AF0">
                <w:rPr>
                  <w:rStyle w:val="Hyperlink"/>
                  <w:rFonts w:ascii="Arial" w:hAnsi="Arial" w:cs="Arial"/>
                  <w:color w:val="2B93D9"/>
                  <w:sz w:val="24"/>
                  <w:szCs w:val="24"/>
                </w:rPr>
                <w:t>www.dmachoice.org</w:t>
              </w:r>
            </w:hyperlink>
          </w:p>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c>
          <w:tcPr>
            <w:tcW w:w="1530" w:type="dxa"/>
          </w:tcPr>
          <w:p w:rsidR="0065350C" w:rsidRPr="00C90AF0" w:rsidRDefault="0065350C" w:rsidP="003770DD">
            <w:pPr>
              <w:pStyle w:val="NormalWeb"/>
              <w:spacing w:before="0" w:beforeAutospacing="0" w:after="0" w:afterAutospacing="0" w:line="315" w:lineRule="atLeast"/>
              <w:rPr>
                <w:rFonts w:ascii="Arial" w:hAnsi="Arial" w:cs="Arial"/>
                <w:color w:val="000000"/>
                <w:sz w:val="24"/>
                <w:szCs w:val="24"/>
              </w:rPr>
            </w:pPr>
          </w:p>
        </w:tc>
      </w:tr>
    </w:tbl>
    <w:p w:rsidR="0065350C" w:rsidRPr="00C90AF0" w:rsidRDefault="0065350C" w:rsidP="0065350C">
      <w:pPr>
        <w:pStyle w:val="NormalWeb"/>
        <w:shd w:val="clear" w:color="auto" w:fill="FFFFFF"/>
        <w:spacing w:before="0" w:beforeAutospacing="0" w:after="0" w:afterAutospacing="0" w:line="315" w:lineRule="atLeast"/>
        <w:rPr>
          <w:rFonts w:ascii="Arial" w:hAnsi="Arial" w:cs="Arial"/>
          <w:color w:val="000000"/>
          <w:sz w:val="24"/>
          <w:szCs w:val="24"/>
        </w:rPr>
      </w:pPr>
    </w:p>
    <w:p w:rsidR="00721302" w:rsidRDefault="00721302"/>
    <w:sectPr w:rsidR="00721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0E87"/>
    <w:multiLevelType w:val="hybridMultilevel"/>
    <w:tmpl w:val="FF40F9B0"/>
    <w:lvl w:ilvl="0" w:tplc="C616F1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AC7FF7"/>
    <w:multiLevelType w:val="hybridMultilevel"/>
    <w:tmpl w:val="06A096C0"/>
    <w:lvl w:ilvl="0" w:tplc="C616F1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DD686E"/>
    <w:multiLevelType w:val="hybridMultilevel"/>
    <w:tmpl w:val="2786C38E"/>
    <w:lvl w:ilvl="0" w:tplc="C616F1B4">
      <w:start w:val="1"/>
      <w:numFmt w:val="bullet"/>
      <w:lvlText w:val=""/>
      <w:lvlJc w:val="left"/>
      <w:pPr>
        <w:ind w:left="360" w:hanging="360"/>
      </w:pPr>
      <w:rPr>
        <w:rFonts w:ascii="Wingdings" w:hAnsi="Wingdings" w:hint="default"/>
      </w:rPr>
    </w:lvl>
    <w:lvl w:ilvl="1" w:tplc="C616F1B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E63146"/>
    <w:multiLevelType w:val="hybridMultilevel"/>
    <w:tmpl w:val="F2F8D982"/>
    <w:lvl w:ilvl="0" w:tplc="C616F1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0C"/>
    <w:rsid w:val="0065350C"/>
    <w:rsid w:val="00721302"/>
    <w:rsid w:val="00C3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CD7CB-5CE4-4114-86AC-8DB4D0FC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5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50C"/>
    <w:rPr>
      <w:color w:val="0563C1" w:themeColor="hyperlink"/>
      <w:u w:val="single"/>
    </w:rPr>
  </w:style>
  <w:style w:type="paragraph" w:styleId="NormalWeb">
    <w:name w:val="Normal (Web)"/>
    <w:basedOn w:val="Normal"/>
    <w:uiPriority w:val="99"/>
    <w:unhideWhenUsed/>
    <w:rsid w:val="0065350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5350C"/>
    <w:pPr>
      <w:ind w:left="720"/>
      <w:contextualSpacing/>
    </w:pPr>
  </w:style>
  <w:style w:type="character" w:styleId="Strong">
    <w:name w:val="Strong"/>
    <w:basedOn w:val="DefaultParagraphFont"/>
    <w:uiPriority w:val="22"/>
    <w:qFormat/>
    <w:rsid w:val="0065350C"/>
    <w:rPr>
      <w:b/>
      <w:bCs/>
    </w:rPr>
  </w:style>
  <w:style w:type="table" w:styleId="TableGrid">
    <w:name w:val="Table Grid"/>
    <w:basedOn w:val="TableNormal"/>
    <w:uiPriority w:val="59"/>
    <w:rsid w:val="0065350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achoice.org/" TargetMode="External"/><Relationship Id="rId3" Type="http://schemas.openxmlformats.org/officeDocument/2006/relationships/settings" Target="settings.xml"/><Relationship Id="rId7" Type="http://schemas.openxmlformats.org/officeDocument/2006/relationships/hyperlink" Target="http://www.donotcal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toutprescreen.com/?rf=t" TargetMode="External"/><Relationship Id="rId5" Type="http://schemas.openxmlformats.org/officeDocument/2006/relationships/hyperlink" Target="http://www.cdc.gov/nchs/w2w/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Scherler.Laura</dc:creator>
  <cp:keywords/>
  <dc:description/>
  <cp:lastModifiedBy>Scherler.Laura</cp:lastModifiedBy>
  <cp:revision>2</cp:revision>
  <dcterms:created xsi:type="dcterms:W3CDTF">2016-10-19T14:06:00Z</dcterms:created>
  <dcterms:modified xsi:type="dcterms:W3CDTF">2016-10-19T14:11:00Z</dcterms:modified>
</cp:coreProperties>
</file>